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D2" w:rsidRPr="00DB5F18" w:rsidRDefault="00002A09" w:rsidP="009A3ACA">
      <w:pPr>
        <w:ind w:left="-540"/>
        <w:jc w:val="center"/>
        <w:rPr>
          <w:rFonts w:eastAsia="Batang"/>
          <w:bCs/>
          <w:sz w:val="26"/>
          <w:szCs w:val="26"/>
          <w:lang w:eastAsia="ko-KR"/>
        </w:rPr>
      </w:pPr>
      <w:r>
        <w:rPr>
          <w:noProof/>
          <w:lang w:eastAsia="en-US"/>
        </w:rPr>
        <w:drawing>
          <wp:anchor distT="0" distB="0" distL="114300" distR="114300" simplePos="0" relativeHeight="251657728" behindDoc="0" locked="0" layoutInCell="1" allowOverlap="0">
            <wp:simplePos x="0" y="0"/>
            <wp:positionH relativeFrom="column">
              <wp:align>center</wp:align>
            </wp:positionH>
            <wp:positionV relativeFrom="page">
              <wp:posOffset>220345</wp:posOffset>
            </wp:positionV>
            <wp:extent cx="7315200" cy="925195"/>
            <wp:effectExtent l="19050" t="0" r="0" b="0"/>
            <wp:wrapNone/>
            <wp:docPr id="2" name="Picture 2" descr="im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4"/>
                    <pic:cNvPicPr>
                      <a:picLocks noChangeAspect="1" noChangeArrowheads="1"/>
                    </pic:cNvPicPr>
                  </pic:nvPicPr>
                  <pic:blipFill>
                    <a:blip r:embed="rId8"/>
                    <a:srcRect/>
                    <a:stretch>
                      <a:fillRect/>
                    </a:stretch>
                  </pic:blipFill>
                  <pic:spPr bwMode="auto">
                    <a:xfrm>
                      <a:off x="0" y="0"/>
                      <a:ext cx="7315200" cy="925195"/>
                    </a:xfrm>
                    <a:prstGeom prst="rect">
                      <a:avLst/>
                    </a:prstGeom>
                    <a:noFill/>
                    <a:ln w="9525">
                      <a:noFill/>
                      <a:miter lim="800000"/>
                      <a:headEnd/>
                      <a:tailEnd/>
                    </a:ln>
                  </pic:spPr>
                </pic:pic>
              </a:graphicData>
            </a:graphic>
          </wp:anchor>
        </w:drawing>
      </w:r>
      <w:r w:rsidR="00DB5F18" w:rsidRPr="00DB5F18">
        <w:rPr>
          <w:rFonts w:eastAsia="Batang"/>
          <w:bCs/>
          <w:sz w:val="26"/>
          <w:szCs w:val="26"/>
          <w:lang w:eastAsia="ko-KR"/>
        </w:rPr>
        <w:t>December 1, 2010</w:t>
      </w:r>
    </w:p>
    <w:p w:rsidR="001437F1" w:rsidRDefault="001437F1" w:rsidP="009A3ACA">
      <w:pPr>
        <w:ind w:left="-540"/>
        <w:rPr>
          <w:sz w:val="26"/>
          <w:szCs w:val="26"/>
        </w:rPr>
      </w:pPr>
    </w:p>
    <w:p w:rsidR="00DC211B" w:rsidRDefault="00DC211B" w:rsidP="009A3ACA">
      <w:pPr>
        <w:ind w:left="-540"/>
        <w:rPr>
          <w:sz w:val="26"/>
          <w:szCs w:val="26"/>
        </w:rPr>
      </w:pPr>
    </w:p>
    <w:p w:rsidR="002B11BC" w:rsidRDefault="0037308E" w:rsidP="009A3ACA">
      <w:pPr>
        <w:ind w:left="-540" w:right="-72"/>
        <w:jc w:val="center"/>
        <w:rPr>
          <w:rFonts w:ascii="Calibri" w:hAnsi="Calibri" w:cs="Calibri"/>
          <w:b/>
          <w:bCs/>
          <w:sz w:val="32"/>
          <w:szCs w:val="32"/>
        </w:rPr>
      </w:pPr>
      <w:r>
        <w:rPr>
          <w:rFonts w:ascii="Calibri" w:hAnsi="Calibri" w:cs="Calibri"/>
          <w:b/>
          <w:bCs/>
          <w:sz w:val="32"/>
          <w:szCs w:val="32"/>
        </w:rPr>
        <w:t xml:space="preserve">CHANGE NOTIFICATION </w:t>
      </w:r>
      <w:r w:rsidR="009A3ACA" w:rsidRPr="009A3ACA">
        <w:rPr>
          <w:rFonts w:ascii="Calibri" w:hAnsi="Calibri" w:cs="Calibri"/>
          <w:b/>
          <w:bCs/>
          <w:sz w:val="32"/>
          <w:szCs w:val="32"/>
        </w:rPr>
        <w:t>REQUIREMENTS</w:t>
      </w:r>
    </w:p>
    <w:p w:rsidR="009A3ACA" w:rsidRDefault="002B11BC" w:rsidP="009A3ACA">
      <w:pPr>
        <w:ind w:left="-540" w:right="-72"/>
        <w:jc w:val="center"/>
        <w:rPr>
          <w:rFonts w:ascii="Calibri" w:hAnsi="Calibri" w:cs="Calibri"/>
          <w:b/>
          <w:bCs/>
          <w:sz w:val="32"/>
          <w:szCs w:val="32"/>
        </w:rPr>
      </w:pPr>
      <w:r>
        <w:rPr>
          <w:rFonts w:ascii="Calibri" w:hAnsi="Calibri" w:cs="Calibri"/>
          <w:b/>
          <w:bCs/>
          <w:sz w:val="32"/>
          <w:szCs w:val="32"/>
        </w:rPr>
        <w:t>ISC-CNR</w:t>
      </w:r>
      <w:r w:rsidR="00731D57">
        <w:rPr>
          <w:rFonts w:ascii="Calibri" w:hAnsi="Calibri" w:cs="Calibri"/>
          <w:b/>
          <w:bCs/>
          <w:sz w:val="32"/>
          <w:szCs w:val="32"/>
        </w:rPr>
        <w:t xml:space="preserve"> (REV </w:t>
      </w:r>
      <w:r w:rsidR="00B407B0">
        <w:rPr>
          <w:rFonts w:ascii="Calibri" w:hAnsi="Calibri" w:cs="Calibri"/>
          <w:b/>
          <w:bCs/>
          <w:sz w:val="32"/>
          <w:szCs w:val="32"/>
        </w:rPr>
        <w:t>01-16</w:t>
      </w:r>
      <w:r w:rsidR="00731D57">
        <w:rPr>
          <w:rFonts w:ascii="Calibri" w:hAnsi="Calibri" w:cs="Calibri"/>
          <w:b/>
          <w:bCs/>
          <w:sz w:val="32"/>
          <w:szCs w:val="32"/>
        </w:rPr>
        <w:t>)</w:t>
      </w:r>
    </w:p>
    <w:p w:rsidR="009A3ACA" w:rsidRPr="009A3ACA" w:rsidRDefault="009A3ACA" w:rsidP="009A3ACA">
      <w:pPr>
        <w:ind w:left="-540"/>
        <w:jc w:val="center"/>
        <w:rPr>
          <w:rFonts w:ascii="Calibri" w:hAnsi="Calibri" w:cs="Calibri"/>
          <w:b/>
          <w:bCs/>
          <w:sz w:val="28"/>
          <w:szCs w:val="28"/>
        </w:rPr>
      </w:pPr>
      <w:r w:rsidRPr="009A3ACA">
        <w:rPr>
          <w:rFonts w:ascii="Calibri" w:hAnsi="Calibri" w:cs="Calibri"/>
          <w:b/>
          <w:bCs/>
          <w:sz w:val="28"/>
          <w:szCs w:val="28"/>
        </w:rPr>
        <w:t xml:space="preserve"> Please note the following </w:t>
      </w:r>
      <w:r w:rsidR="00DE5225">
        <w:rPr>
          <w:rFonts w:ascii="Calibri" w:hAnsi="Calibri" w:cs="Calibri"/>
          <w:b/>
          <w:bCs/>
          <w:sz w:val="28"/>
          <w:szCs w:val="28"/>
        </w:rPr>
        <w:t xml:space="preserve">purchase </w:t>
      </w:r>
      <w:r w:rsidRPr="009A3ACA">
        <w:rPr>
          <w:rFonts w:ascii="Calibri" w:hAnsi="Calibri" w:cs="Calibri"/>
          <w:b/>
          <w:bCs/>
          <w:sz w:val="28"/>
          <w:szCs w:val="28"/>
        </w:rPr>
        <w:t>requirements:</w:t>
      </w:r>
    </w:p>
    <w:p w:rsidR="009A3ACA" w:rsidRPr="009A3ACA" w:rsidRDefault="009A3ACA" w:rsidP="009A3ACA">
      <w:pPr>
        <w:ind w:left="-540"/>
        <w:jc w:val="center"/>
        <w:rPr>
          <w:rFonts w:ascii="Calibri" w:hAnsi="Calibri" w:cs="Calibri"/>
          <w:b/>
          <w:bCs/>
          <w:sz w:val="32"/>
          <w:szCs w:val="32"/>
        </w:rPr>
      </w:pPr>
    </w:p>
    <w:p w:rsidR="009A3ACA" w:rsidRDefault="009A3ACA" w:rsidP="009A3ACA">
      <w:pPr>
        <w:rPr>
          <w:rFonts w:ascii="Calibri" w:hAnsi="Calibri" w:cs="Calibri"/>
          <w:b/>
          <w:sz w:val="24"/>
          <w:szCs w:val="24"/>
        </w:rPr>
      </w:pPr>
      <w:r w:rsidRPr="009A3ACA">
        <w:rPr>
          <w:rFonts w:ascii="Calibri" w:hAnsi="Calibri" w:cs="Calibri"/>
          <w:b/>
          <w:bCs/>
          <w:sz w:val="24"/>
          <w:szCs w:val="24"/>
        </w:rPr>
        <w:t>Change Notification/</w:t>
      </w:r>
      <w:r w:rsidR="00B14122">
        <w:rPr>
          <w:rFonts w:ascii="Calibri" w:hAnsi="Calibri" w:cs="Calibri"/>
          <w:b/>
          <w:bCs/>
          <w:sz w:val="24"/>
          <w:szCs w:val="24"/>
        </w:rPr>
        <w:t>Quality Control</w:t>
      </w:r>
      <w:r w:rsidRPr="009A3ACA">
        <w:rPr>
          <w:rFonts w:ascii="Calibri" w:hAnsi="Calibri" w:cs="Calibri"/>
          <w:sz w:val="24"/>
          <w:szCs w:val="24"/>
        </w:rPr>
        <w:br/>
      </w:r>
      <w:r w:rsidRPr="009A3ACA">
        <w:rPr>
          <w:rFonts w:ascii="Calibri" w:hAnsi="Calibri" w:cs="Calibri"/>
          <w:sz w:val="24"/>
          <w:szCs w:val="24"/>
        </w:rPr>
        <w:tab/>
      </w:r>
      <w:r w:rsidR="00983ADF">
        <w:rPr>
          <w:rFonts w:ascii="Calibri" w:hAnsi="Calibri" w:cs="Calibri"/>
          <w:sz w:val="24"/>
          <w:szCs w:val="24"/>
        </w:rPr>
        <w:t xml:space="preserve">As of </w:t>
      </w:r>
      <w:r w:rsidR="00B407B0">
        <w:rPr>
          <w:rFonts w:ascii="Calibri" w:hAnsi="Calibri" w:cs="Calibri"/>
          <w:sz w:val="24"/>
          <w:szCs w:val="24"/>
        </w:rPr>
        <w:t>January</w:t>
      </w:r>
      <w:r w:rsidR="00983ADF">
        <w:rPr>
          <w:rFonts w:ascii="Calibri" w:hAnsi="Calibri" w:cs="Calibri"/>
          <w:sz w:val="24"/>
          <w:szCs w:val="24"/>
        </w:rPr>
        <w:t xml:space="preserve"> 1, 20</w:t>
      </w:r>
      <w:r w:rsidR="00B407B0">
        <w:rPr>
          <w:rFonts w:ascii="Calibri" w:hAnsi="Calibri" w:cs="Calibri"/>
          <w:sz w:val="24"/>
          <w:szCs w:val="24"/>
        </w:rPr>
        <w:t>16</w:t>
      </w:r>
      <w:r w:rsidR="00983ADF">
        <w:rPr>
          <w:rFonts w:ascii="Calibri" w:hAnsi="Calibri" w:cs="Calibri"/>
          <w:sz w:val="24"/>
          <w:szCs w:val="24"/>
        </w:rPr>
        <w:t>, y</w:t>
      </w:r>
      <w:r w:rsidRPr="009A3ACA">
        <w:rPr>
          <w:rFonts w:ascii="Calibri" w:hAnsi="Calibri" w:cs="Calibri"/>
          <w:sz w:val="24"/>
          <w:szCs w:val="24"/>
        </w:rPr>
        <w:t xml:space="preserve">ou are required to provide </w:t>
      </w:r>
      <w:r w:rsidRPr="00DE5225">
        <w:rPr>
          <w:rFonts w:ascii="Calibri" w:hAnsi="Calibri" w:cs="Calibri"/>
          <w:b/>
          <w:sz w:val="24"/>
          <w:szCs w:val="24"/>
          <w:u w:val="single"/>
        </w:rPr>
        <w:t>advance notice</w:t>
      </w:r>
      <w:r w:rsidRPr="009A3ACA">
        <w:rPr>
          <w:rFonts w:ascii="Calibri" w:hAnsi="Calibri" w:cs="Calibri"/>
          <w:sz w:val="24"/>
          <w:szCs w:val="24"/>
        </w:rPr>
        <w:t xml:space="preserve"> to Industrial Supply of</w:t>
      </w:r>
      <w:r w:rsidR="00DE5225">
        <w:rPr>
          <w:rFonts w:ascii="Calibri" w:hAnsi="Calibri" w:cs="Calibri"/>
          <w:sz w:val="24"/>
          <w:szCs w:val="24"/>
        </w:rPr>
        <w:t xml:space="preserve"> any changes to the Supplier </w:t>
      </w:r>
      <w:r w:rsidRPr="009A3ACA">
        <w:rPr>
          <w:rFonts w:ascii="Calibri" w:hAnsi="Calibri" w:cs="Calibri"/>
          <w:sz w:val="24"/>
          <w:szCs w:val="24"/>
        </w:rPr>
        <w:t>or sub-</w:t>
      </w:r>
      <w:r w:rsidR="00DE5225">
        <w:rPr>
          <w:rFonts w:ascii="Calibri" w:hAnsi="Calibri" w:cs="Calibri"/>
          <w:sz w:val="24"/>
          <w:szCs w:val="24"/>
        </w:rPr>
        <w:t>tier supplier as noted below</w:t>
      </w:r>
      <w:r w:rsidR="00983ADF">
        <w:rPr>
          <w:rFonts w:ascii="Calibri" w:hAnsi="Calibri" w:cs="Calibri"/>
          <w:sz w:val="24"/>
          <w:szCs w:val="24"/>
        </w:rPr>
        <w:t xml:space="preserve">. </w:t>
      </w:r>
      <w:r w:rsidR="00983ADF" w:rsidRPr="005659FD">
        <w:rPr>
          <w:rFonts w:ascii="Calibri" w:hAnsi="Calibri" w:cs="Calibri"/>
          <w:b/>
          <w:sz w:val="24"/>
          <w:szCs w:val="24"/>
        </w:rPr>
        <w:t xml:space="preserve">Ordered materials are </w:t>
      </w:r>
      <w:r w:rsidR="005659FD" w:rsidRPr="005659FD">
        <w:rPr>
          <w:rFonts w:ascii="Calibri" w:hAnsi="Calibri" w:cs="Calibri"/>
          <w:b/>
          <w:sz w:val="24"/>
          <w:szCs w:val="24"/>
        </w:rPr>
        <w:t>used by</w:t>
      </w:r>
      <w:r w:rsidR="00983ADF" w:rsidRPr="005659FD">
        <w:rPr>
          <w:rFonts w:ascii="Calibri" w:hAnsi="Calibri" w:cs="Calibri"/>
          <w:b/>
          <w:sz w:val="24"/>
          <w:szCs w:val="24"/>
        </w:rPr>
        <w:t xml:space="preserve"> Orbital ATK</w:t>
      </w:r>
      <w:r w:rsidR="00ED7BFE">
        <w:rPr>
          <w:rFonts w:ascii="Calibri" w:hAnsi="Calibri" w:cs="Calibri"/>
          <w:b/>
          <w:sz w:val="24"/>
          <w:szCs w:val="24"/>
        </w:rPr>
        <w:t>.</w:t>
      </w:r>
    </w:p>
    <w:p w:rsidR="00ED7BFE" w:rsidRPr="005B4379" w:rsidRDefault="00551F69" w:rsidP="009A3ACA">
      <w:pPr>
        <w:rPr>
          <w:rFonts w:eastAsia="Times New Roman"/>
        </w:rPr>
      </w:pPr>
      <w:r>
        <w:rPr>
          <w:rFonts w:ascii="Calibri" w:hAnsi="Calibri" w:cs="Calibri"/>
          <w:b/>
          <w:sz w:val="24"/>
          <w:szCs w:val="24"/>
        </w:rPr>
        <w:t xml:space="preserve"> </w:t>
      </w:r>
      <w:r>
        <w:rPr>
          <w:rFonts w:ascii="Calibri" w:hAnsi="Calibri" w:cs="Calibri"/>
          <w:b/>
          <w:sz w:val="24"/>
          <w:szCs w:val="24"/>
        </w:rPr>
        <w:tab/>
        <w:t>Please see the Orb</w:t>
      </w:r>
      <w:r w:rsidR="005B4379">
        <w:rPr>
          <w:rFonts w:ascii="Calibri" w:hAnsi="Calibri" w:cs="Calibri"/>
          <w:b/>
          <w:sz w:val="24"/>
          <w:szCs w:val="24"/>
        </w:rPr>
        <w:t>ital ATK document AQFA-0001 Rev</w:t>
      </w:r>
      <w:r>
        <w:rPr>
          <w:rFonts w:ascii="Calibri" w:hAnsi="Calibri" w:cs="Calibri"/>
          <w:b/>
          <w:sz w:val="24"/>
          <w:szCs w:val="24"/>
        </w:rPr>
        <w:t xml:space="preserve"> </w:t>
      </w:r>
      <w:r w:rsidR="00B407B0">
        <w:rPr>
          <w:rFonts w:ascii="Calibri" w:hAnsi="Calibri" w:cs="Calibri"/>
          <w:b/>
          <w:sz w:val="24"/>
          <w:szCs w:val="24"/>
        </w:rPr>
        <w:t>01-16</w:t>
      </w:r>
      <w:r>
        <w:rPr>
          <w:rFonts w:ascii="Calibri" w:hAnsi="Calibri" w:cs="Calibri"/>
          <w:b/>
          <w:sz w:val="24"/>
          <w:szCs w:val="24"/>
        </w:rPr>
        <w:t xml:space="preserve"> for further instructions.</w:t>
      </w:r>
      <w:r w:rsidR="005B4379">
        <w:rPr>
          <w:rFonts w:ascii="Calibri" w:hAnsi="Calibri" w:cs="Calibri"/>
          <w:b/>
          <w:sz w:val="24"/>
          <w:szCs w:val="24"/>
        </w:rPr>
        <w:t xml:space="preserve"> This document can be accessed at the following website:</w:t>
      </w:r>
      <w:r w:rsidR="005B4379">
        <w:rPr>
          <w:rFonts w:eastAsia="Times New Roman"/>
        </w:rPr>
        <w:t xml:space="preserve"> </w:t>
      </w:r>
      <w:hyperlink r:id="rId9" w:history="1">
        <w:r w:rsidR="005B4379">
          <w:rPr>
            <w:rStyle w:val="Hyperlink"/>
            <w:rFonts w:eastAsia="Times New Roman"/>
          </w:rPr>
          <w:t>http://www.indsupply.com/assets/resource/pdf/AFQA-0001.pdf</w:t>
        </w:r>
      </w:hyperlink>
    </w:p>
    <w:p w:rsidR="009A3ACA" w:rsidRPr="009A3ACA" w:rsidRDefault="009A3ACA" w:rsidP="009A3ACA">
      <w:pPr>
        <w:ind w:firstLine="720"/>
        <w:rPr>
          <w:rFonts w:ascii="Calibri" w:hAnsi="Calibri" w:cs="Calibri"/>
          <w:strike/>
          <w:sz w:val="24"/>
          <w:szCs w:val="24"/>
        </w:rPr>
      </w:pPr>
    </w:p>
    <w:p w:rsidR="00D912DE" w:rsidRDefault="00DE5225" w:rsidP="00D912DE">
      <w:pPr>
        <w:rPr>
          <w:rFonts w:ascii="Calibri" w:hAnsi="Calibri" w:cs="Calibri"/>
          <w:b/>
          <w:color w:val="0070C0"/>
          <w:sz w:val="24"/>
          <w:szCs w:val="24"/>
        </w:rPr>
      </w:pPr>
      <w:r>
        <w:rPr>
          <w:rFonts w:ascii="Calibri" w:hAnsi="Calibri" w:cs="Calibri"/>
          <w:b/>
          <w:sz w:val="24"/>
          <w:szCs w:val="24"/>
        </w:rPr>
        <w:t>Change i</w:t>
      </w:r>
      <w:r w:rsidR="009A3ACA" w:rsidRPr="00D912DE">
        <w:rPr>
          <w:rFonts w:ascii="Calibri" w:hAnsi="Calibri" w:cs="Calibri"/>
          <w:b/>
          <w:sz w:val="24"/>
          <w:szCs w:val="24"/>
        </w:rPr>
        <w:t xml:space="preserve">nformation </w:t>
      </w:r>
      <w:r>
        <w:rPr>
          <w:rFonts w:ascii="Calibri" w:hAnsi="Calibri" w:cs="Calibri"/>
          <w:b/>
          <w:sz w:val="24"/>
          <w:szCs w:val="24"/>
        </w:rPr>
        <w:t>required</w:t>
      </w:r>
      <w:r w:rsidR="00BC249C">
        <w:rPr>
          <w:rFonts w:ascii="Calibri" w:hAnsi="Calibri" w:cs="Calibri"/>
          <w:b/>
          <w:sz w:val="24"/>
          <w:szCs w:val="24"/>
        </w:rPr>
        <w:t>:</w:t>
      </w:r>
    </w:p>
    <w:p w:rsidR="009A3ACA" w:rsidRPr="00D912DE" w:rsidRDefault="009A3ACA" w:rsidP="00D912DE">
      <w:pPr>
        <w:rPr>
          <w:rFonts w:ascii="Calibri" w:hAnsi="Calibri" w:cs="Calibri"/>
          <w:b/>
          <w:color w:val="0070C0"/>
          <w:sz w:val="24"/>
          <w:szCs w:val="24"/>
        </w:rPr>
      </w:pPr>
      <w:r w:rsidRPr="009A3ACA">
        <w:rPr>
          <w:rFonts w:ascii="Calibri" w:hAnsi="Calibri" w:cs="Calibri"/>
          <w:sz w:val="24"/>
          <w:szCs w:val="24"/>
        </w:rPr>
        <w:t> </w:t>
      </w:r>
      <w:r w:rsidR="00D912DE">
        <w:rPr>
          <w:rFonts w:ascii="Calibri" w:hAnsi="Calibri" w:cs="Calibri"/>
          <w:sz w:val="24"/>
          <w:szCs w:val="24"/>
        </w:rPr>
        <w:t xml:space="preserve">   </w:t>
      </w:r>
      <w:r w:rsidRPr="009A3ACA">
        <w:rPr>
          <w:rStyle w:val="Strong"/>
          <w:rFonts w:ascii="Calibri" w:hAnsi="Calibri" w:cs="Calibri"/>
          <w:sz w:val="24"/>
          <w:szCs w:val="24"/>
        </w:rPr>
        <w:t>1.</w:t>
      </w:r>
      <w:r w:rsidR="00D912DE">
        <w:rPr>
          <w:rStyle w:val="Strong"/>
          <w:rFonts w:ascii="Calibri" w:hAnsi="Calibri" w:cs="Calibri"/>
          <w:sz w:val="24"/>
          <w:szCs w:val="24"/>
        </w:rPr>
        <w:tab/>
      </w:r>
      <w:r w:rsidRPr="009A3ACA">
        <w:rPr>
          <w:rFonts w:ascii="Calibri" w:hAnsi="Calibri" w:cs="Calibri"/>
          <w:sz w:val="24"/>
          <w:szCs w:val="24"/>
        </w:rPr>
        <w:t>Changes</w:t>
      </w:r>
      <w:r w:rsidR="00D912DE">
        <w:rPr>
          <w:rFonts w:ascii="Calibri" w:hAnsi="Calibri" w:cs="Calibri"/>
          <w:sz w:val="24"/>
          <w:szCs w:val="24"/>
        </w:rPr>
        <w:t xml:space="preserve"> to </w:t>
      </w:r>
      <w:r w:rsidRPr="009A3ACA">
        <w:rPr>
          <w:rFonts w:ascii="Calibri" w:hAnsi="Calibri" w:cs="Calibri"/>
          <w:sz w:val="24"/>
          <w:szCs w:val="24"/>
        </w:rPr>
        <w:t>Supplier, and sub-tier supplier-approved designs, including proprietary designs.</w:t>
      </w:r>
      <w:r w:rsidRPr="009A3ACA">
        <w:rPr>
          <w:rFonts w:ascii="Calibri" w:hAnsi="Calibri" w:cs="Calibri"/>
          <w:sz w:val="24"/>
          <w:szCs w:val="24"/>
        </w:rPr>
        <w:br/>
        <w:t>    </w:t>
      </w:r>
      <w:r w:rsidRPr="009A3ACA">
        <w:rPr>
          <w:rStyle w:val="Strong"/>
          <w:rFonts w:ascii="Calibri" w:hAnsi="Calibri" w:cs="Calibri"/>
          <w:sz w:val="24"/>
          <w:szCs w:val="24"/>
        </w:rPr>
        <w:t>2.</w:t>
      </w:r>
      <w:r w:rsidRPr="009A3ACA">
        <w:rPr>
          <w:rFonts w:ascii="Calibri" w:hAnsi="Calibri" w:cs="Calibri"/>
          <w:sz w:val="24"/>
          <w:szCs w:val="24"/>
        </w:rPr>
        <w:t xml:space="preserve"> </w:t>
      </w:r>
      <w:r w:rsidRPr="009A3ACA">
        <w:rPr>
          <w:rFonts w:ascii="Calibri" w:hAnsi="Calibri" w:cs="Calibri"/>
          <w:sz w:val="24"/>
          <w:szCs w:val="24"/>
        </w:rPr>
        <w:tab/>
        <w:t xml:space="preserve">Changes to fabrication methods, </w:t>
      </w:r>
      <w:r w:rsidR="00D912DE">
        <w:rPr>
          <w:rFonts w:ascii="Calibri" w:hAnsi="Calibri" w:cs="Calibri"/>
          <w:sz w:val="24"/>
          <w:szCs w:val="24"/>
        </w:rPr>
        <w:t xml:space="preserve">materials, </w:t>
      </w:r>
      <w:r w:rsidRPr="009A3ACA">
        <w:rPr>
          <w:rFonts w:ascii="Calibri" w:hAnsi="Calibri" w:cs="Calibri"/>
          <w:sz w:val="24"/>
          <w:szCs w:val="24"/>
        </w:rPr>
        <w:t>test methods, processes, or tooling.</w:t>
      </w:r>
      <w:r w:rsidRPr="009A3ACA">
        <w:rPr>
          <w:rFonts w:ascii="Calibri" w:hAnsi="Calibri" w:cs="Calibri"/>
          <w:sz w:val="24"/>
          <w:szCs w:val="24"/>
        </w:rPr>
        <w:br/>
        <w:t>    </w:t>
      </w:r>
      <w:r w:rsidRPr="009A3ACA">
        <w:rPr>
          <w:rStyle w:val="Strong"/>
          <w:rFonts w:ascii="Calibri" w:hAnsi="Calibri" w:cs="Calibri"/>
          <w:sz w:val="24"/>
          <w:szCs w:val="24"/>
        </w:rPr>
        <w:t>3.</w:t>
      </w:r>
      <w:r w:rsidRPr="009A3ACA">
        <w:rPr>
          <w:rFonts w:ascii="Calibri" w:hAnsi="Calibri" w:cs="Calibri"/>
          <w:sz w:val="24"/>
          <w:szCs w:val="24"/>
        </w:rPr>
        <w:t xml:space="preserve"> </w:t>
      </w:r>
      <w:r w:rsidRPr="009A3ACA">
        <w:rPr>
          <w:rFonts w:ascii="Calibri" w:hAnsi="Calibri" w:cs="Calibri"/>
          <w:sz w:val="24"/>
          <w:szCs w:val="24"/>
        </w:rPr>
        <w:tab/>
        <w:t>Changes to manufacturing location.</w:t>
      </w:r>
      <w:r w:rsidRPr="009A3ACA">
        <w:rPr>
          <w:rFonts w:ascii="Calibri" w:hAnsi="Calibri" w:cs="Calibri"/>
          <w:sz w:val="24"/>
          <w:szCs w:val="24"/>
        </w:rPr>
        <w:br/>
        <w:t>    </w:t>
      </w:r>
      <w:r w:rsidRPr="009A3ACA">
        <w:rPr>
          <w:rStyle w:val="Strong"/>
          <w:rFonts w:ascii="Calibri" w:hAnsi="Calibri" w:cs="Calibri"/>
          <w:sz w:val="24"/>
          <w:szCs w:val="24"/>
        </w:rPr>
        <w:t>4.</w:t>
      </w:r>
      <w:r w:rsidRPr="009A3ACA">
        <w:rPr>
          <w:rFonts w:ascii="Calibri" w:hAnsi="Calibri" w:cs="Calibri"/>
          <w:sz w:val="24"/>
          <w:szCs w:val="24"/>
        </w:rPr>
        <w:t xml:space="preserve"> </w:t>
      </w:r>
      <w:r w:rsidRPr="009A3ACA">
        <w:rPr>
          <w:rFonts w:ascii="Calibri" w:hAnsi="Calibri" w:cs="Calibri"/>
          <w:sz w:val="24"/>
          <w:szCs w:val="24"/>
        </w:rPr>
        <w:tab/>
        <w:t>Management or ownership changes.</w:t>
      </w:r>
      <w:r w:rsidR="00D912DE">
        <w:rPr>
          <w:rFonts w:ascii="Calibri" w:hAnsi="Calibri" w:cs="Calibri"/>
          <w:sz w:val="24"/>
          <w:szCs w:val="24"/>
        </w:rPr>
        <w:t xml:space="preserve"> Name or address changes.</w:t>
      </w:r>
      <w:r w:rsidRPr="009A3ACA">
        <w:rPr>
          <w:rFonts w:ascii="Calibri" w:hAnsi="Calibri" w:cs="Calibri"/>
          <w:sz w:val="24"/>
          <w:szCs w:val="24"/>
        </w:rPr>
        <w:br/>
        <w:t>    </w:t>
      </w:r>
      <w:r w:rsidRPr="009A3ACA">
        <w:rPr>
          <w:rStyle w:val="Strong"/>
          <w:rFonts w:ascii="Calibri" w:hAnsi="Calibri" w:cs="Calibri"/>
          <w:sz w:val="24"/>
          <w:szCs w:val="24"/>
        </w:rPr>
        <w:t>5.</w:t>
      </w:r>
      <w:r w:rsidRPr="009A3ACA">
        <w:rPr>
          <w:rFonts w:ascii="Calibri" w:hAnsi="Calibri" w:cs="Calibri"/>
          <w:sz w:val="24"/>
          <w:szCs w:val="24"/>
        </w:rPr>
        <w:t xml:space="preserve"> </w:t>
      </w:r>
      <w:r w:rsidRPr="009A3ACA">
        <w:rPr>
          <w:rFonts w:ascii="Calibri" w:hAnsi="Calibri" w:cs="Calibri"/>
          <w:sz w:val="24"/>
          <w:szCs w:val="24"/>
        </w:rPr>
        <w:tab/>
        <w:t>Prolonged labor disputes.</w:t>
      </w:r>
      <w:r w:rsidRPr="009A3ACA">
        <w:rPr>
          <w:rFonts w:ascii="Calibri" w:hAnsi="Calibri" w:cs="Calibri"/>
          <w:sz w:val="24"/>
          <w:szCs w:val="24"/>
        </w:rPr>
        <w:br/>
        <w:t>    </w:t>
      </w:r>
      <w:r w:rsidRPr="009A3ACA">
        <w:rPr>
          <w:rStyle w:val="Strong"/>
          <w:rFonts w:ascii="Calibri" w:hAnsi="Calibri" w:cs="Calibri"/>
          <w:sz w:val="24"/>
          <w:szCs w:val="24"/>
        </w:rPr>
        <w:t>6.</w:t>
      </w:r>
      <w:r w:rsidRPr="009A3ACA">
        <w:rPr>
          <w:rFonts w:ascii="Calibri" w:hAnsi="Calibri" w:cs="Calibri"/>
          <w:sz w:val="24"/>
          <w:szCs w:val="24"/>
        </w:rPr>
        <w:t xml:space="preserve"> </w:t>
      </w:r>
      <w:r w:rsidRPr="009A3ACA">
        <w:rPr>
          <w:rFonts w:ascii="Calibri" w:hAnsi="Calibri" w:cs="Calibri"/>
          <w:sz w:val="24"/>
          <w:szCs w:val="24"/>
        </w:rPr>
        <w:tab/>
        <w:t>Prolonged shutdown of normal manufacturing operations.</w:t>
      </w:r>
      <w:r w:rsidRPr="009A3ACA">
        <w:rPr>
          <w:rFonts w:ascii="Calibri" w:hAnsi="Calibri" w:cs="Calibri"/>
          <w:sz w:val="24"/>
          <w:szCs w:val="24"/>
        </w:rPr>
        <w:br/>
        <w:t>    </w:t>
      </w:r>
      <w:r w:rsidRPr="009A3ACA">
        <w:rPr>
          <w:rStyle w:val="Strong"/>
          <w:rFonts w:ascii="Calibri" w:hAnsi="Calibri" w:cs="Calibri"/>
          <w:sz w:val="24"/>
          <w:szCs w:val="24"/>
        </w:rPr>
        <w:t>7.</w:t>
      </w:r>
      <w:r w:rsidRPr="009A3ACA">
        <w:rPr>
          <w:rFonts w:ascii="Calibri" w:hAnsi="Calibri" w:cs="Calibri"/>
          <w:sz w:val="24"/>
          <w:szCs w:val="24"/>
        </w:rPr>
        <w:t xml:space="preserve"> </w:t>
      </w:r>
      <w:r w:rsidRPr="009A3ACA">
        <w:rPr>
          <w:rFonts w:ascii="Calibri" w:hAnsi="Calibri" w:cs="Calibri"/>
          <w:sz w:val="24"/>
          <w:szCs w:val="24"/>
        </w:rPr>
        <w:tab/>
        <w:t>Changes to sub-tier supplier locations.</w:t>
      </w:r>
    </w:p>
    <w:p w:rsidR="00983ADF" w:rsidRDefault="009A3ACA" w:rsidP="00983ADF">
      <w:pPr>
        <w:rPr>
          <w:rFonts w:ascii="Calibri" w:hAnsi="Calibri" w:cs="Calibri"/>
          <w:sz w:val="24"/>
          <w:szCs w:val="24"/>
        </w:rPr>
      </w:pPr>
      <w:r w:rsidRPr="009A3ACA">
        <w:rPr>
          <w:rFonts w:ascii="Calibri" w:hAnsi="Calibri" w:cs="Calibri"/>
          <w:sz w:val="24"/>
          <w:szCs w:val="24"/>
        </w:rPr>
        <w:br/>
      </w:r>
      <w:r w:rsidR="00983ADF" w:rsidRPr="00D912DE">
        <w:rPr>
          <w:rFonts w:ascii="Calibri" w:hAnsi="Calibri" w:cs="Calibri"/>
          <w:b/>
          <w:sz w:val="24"/>
          <w:szCs w:val="24"/>
        </w:rPr>
        <w:t xml:space="preserve">You must notify Industrial Supply Company of any of the aforementioned changes prior to accepting a PO for any item. </w:t>
      </w:r>
      <w:r w:rsidR="00392612">
        <w:rPr>
          <w:rFonts w:ascii="Calibri" w:hAnsi="Calibri" w:cs="Calibri"/>
          <w:b/>
          <w:sz w:val="24"/>
          <w:szCs w:val="24"/>
        </w:rPr>
        <w:t xml:space="preserve">  Notification can be made to the contact information below.</w:t>
      </w:r>
    </w:p>
    <w:p w:rsidR="009A3ACA" w:rsidRPr="009A3ACA" w:rsidRDefault="009A3ACA" w:rsidP="00983ADF">
      <w:pPr>
        <w:rPr>
          <w:rFonts w:ascii="Calibri" w:hAnsi="Calibri" w:cs="Calibri"/>
          <w:sz w:val="24"/>
          <w:szCs w:val="24"/>
        </w:rPr>
      </w:pPr>
      <w:r w:rsidRPr="009A3ACA">
        <w:rPr>
          <w:rFonts w:ascii="Calibri" w:hAnsi="Calibri" w:cs="Calibri"/>
          <w:sz w:val="24"/>
          <w:szCs w:val="24"/>
        </w:rPr>
        <w:t xml:space="preserve">If the purchase agreement is for material that has been previously purchased by ISC it must be manufactured and accepted under the same conditions using the same processes and methods by the same manufacturer and acceptance agency as material previously supplied unless changes are approved </w:t>
      </w:r>
      <w:r w:rsidR="00D912DE">
        <w:rPr>
          <w:rFonts w:ascii="Calibri" w:hAnsi="Calibri" w:cs="Calibri"/>
          <w:sz w:val="24"/>
          <w:szCs w:val="24"/>
        </w:rPr>
        <w:t xml:space="preserve">in advance </w:t>
      </w:r>
      <w:r w:rsidRPr="009A3ACA">
        <w:rPr>
          <w:rFonts w:ascii="Calibri" w:hAnsi="Calibri" w:cs="Calibri"/>
          <w:sz w:val="24"/>
          <w:szCs w:val="24"/>
        </w:rPr>
        <w:t>by ISC.</w:t>
      </w:r>
      <w:r w:rsidRPr="009A3ACA">
        <w:rPr>
          <w:rFonts w:ascii="Calibri" w:hAnsi="Calibri" w:cs="Calibri"/>
          <w:sz w:val="24"/>
          <w:szCs w:val="24"/>
        </w:rPr>
        <w:br/>
      </w:r>
    </w:p>
    <w:p w:rsidR="009A3ACA" w:rsidRDefault="005C75FE" w:rsidP="00D912DE">
      <w:pPr>
        <w:tabs>
          <w:tab w:val="left" w:pos="540"/>
        </w:tabs>
        <w:rPr>
          <w:rFonts w:ascii="Calibri" w:hAnsi="Calibri" w:cs="Calibri"/>
          <w:sz w:val="24"/>
          <w:szCs w:val="24"/>
        </w:rPr>
      </w:pPr>
      <w:r>
        <w:rPr>
          <w:rFonts w:ascii="Calibri" w:hAnsi="Calibri" w:cs="Calibri"/>
          <w:b/>
          <w:sz w:val="24"/>
          <w:szCs w:val="24"/>
        </w:rPr>
        <w:t>If c</w:t>
      </w:r>
      <w:r w:rsidR="009A3ACA" w:rsidRPr="00D912DE">
        <w:rPr>
          <w:rFonts w:ascii="Calibri" w:hAnsi="Calibri" w:cs="Calibri"/>
          <w:b/>
          <w:sz w:val="24"/>
          <w:szCs w:val="24"/>
        </w:rPr>
        <w:t xml:space="preserve">hanges </w:t>
      </w:r>
      <w:r>
        <w:rPr>
          <w:rFonts w:ascii="Calibri" w:hAnsi="Calibri" w:cs="Calibri"/>
          <w:b/>
          <w:sz w:val="24"/>
          <w:szCs w:val="24"/>
        </w:rPr>
        <w:t xml:space="preserve">are </w:t>
      </w:r>
      <w:r w:rsidR="009A3ACA" w:rsidRPr="00D912DE">
        <w:rPr>
          <w:rFonts w:ascii="Calibri" w:hAnsi="Calibri" w:cs="Calibri"/>
          <w:b/>
          <w:sz w:val="24"/>
          <w:szCs w:val="24"/>
        </w:rPr>
        <w:t xml:space="preserve">submitted to ISC </w:t>
      </w:r>
      <w:r>
        <w:rPr>
          <w:rFonts w:ascii="Calibri" w:hAnsi="Calibri" w:cs="Calibri"/>
          <w:b/>
          <w:sz w:val="24"/>
          <w:szCs w:val="24"/>
        </w:rPr>
        <w:t xml:space="preserve">they </w:t>
      </w:r>
      <w:r w:rsidR="009A3ACA" w:rsidRPr="00D912DE">
        <w:rPr>
          <w:rFonts w:ascii="Calibri" w:hAnsi="Calibri" w:cs="Calibri"/>
          <w:b/>
          <w:sz w:val="24"/>
          <w:szCs w:val="24"/>
        </w:rPr>
        <w:t>must contain the following</w:t>
      </w:r>
      <w:r w:rsidR="00D912DE" w:rsidRPr="00D912DE">
        <w:rPr>
          <w:rFonts w:ascii="Calibri" w:hAnsi="Calibri" w:cs="Calibri"/>
          <w:b/>
          <w:sz w:val="24"/>
          <w:szCs w:val="24"/>
        </w:rPr>
        <w:t xml:space="preserve"> </w:t>
      </w:r>
      <w:r w:rsidR="009A3ACA" w:rsidRPr="00D912DE">
        <w:rPr>
          <w:rFonts w:ascii="Calibri" w:hAnsi="Calibri" w:cs="Calibri"/>
          <w:b/>
          <w:sz w:val="24"/>
          <w:szCs w:val="24"/>
        </w:rPr>
        <w:t>information:</w:t>
      </w:r>
      <w:r w:rsidR="009A3ACA" w:rsidRPr="009A3ACA">
        <w:rPr>
          <w:rFonts w:ascii="Calibri" w:hAnsi="Calibri" w:cs="Calibri"/>
          <w:sz w:val="24"/>
          <w:szCs w:val="24"/>
        </w:rPr>
        <w:br/>
        <w:t>    </w:t>
      </w:r>
      <w:r w:rsidR="009A3ACA" w:rsidRPr="009A3ACA">
        <w:rPr>
          <w:rStyle w:val="Strong"/>
          <w:rFonts w:ascii="Calibri" w:hAnsi="Calibri" w:cs="Calibri"/>
          <w:sz w:val="24"/>
          <w:szCs w:val="24"/>
        </w:rPr>
        <w:t>1.</w:t>
      </w:r>
      <w:r w:rsidR="009A3ACA" w:rsidRPr="009A3ACA">
        <w:rPr>
          <w:rFonts w:ascii="Calibri" w:hAnsi="Calibri" w:cs="Calibri"/>
          <w:sz w:val="24"/>
          <w:szCs w:val="24"/>
        </w:rPr>
        <w:t xml:space="preserve"> </w:t>
      </w:r>
      <w:r w:rsidR="00D912DE">
        <w:rPr>
          <w:rFonts w:ascii="Calibri" w:hAnsi="Calibri" w:cs="Calibri"/>
          <w:sz w:val="24"/>
          <w:szCs w:val="24"/>
        </w:rPr>
        <w:tab/>
      </w:r>
      <w:r w:rsidR="009A3ACA" w:rsidRPr="009A3ACA">
        <w:rPr>
          <w:rFonts w:ascii="Calibri" w:hAnsi="Calibri" w:cs="Calibri"/>
          <w:sz w:val="24"/>
          <w:szCs w:val="24"/>
        </w:rPr>
        <w:t xml:space="preserve">A complete description of the change, including a statement of the “From" and "To" conditions of </w:t>
      </w:r>
      <w:r w:rsidR="00D912DE">
        <w:rPr>
          <w:rFonts w:ascii="Calibri" w:hAnsi="Calibri" w:cs="Calibri"/>
          <w:sz w:val="24"/>
          <w:szCs w:val="24"/>
        </w:rPr>
        <w:tab/>
      </w:r>
      <w:r w:rsidR="009A3ACA" w:rsidRPr="009A3ACA">
        <w:rPr>
          <w:rFonts w:ascii="Calibri" w:hAnsi="Calibri" w:cs="Calibri"/>
          <w:sz w:val="24"/>
          <w:szCs w:val="24"/>
        </w:rPr>
        <w:t>the change.</w:t>
      </w:r>
      <w:r w:rsidR="009A3ACA" w:rsidRPr="009A3ACA">
        <w:rPr>
          <w:rFonts w:ascii="Calibri" w:hAnsi="Calibri" w:cs="Calibri"/>
          <w:sz w:val="24"/>
          <w:szCs w:val="24"/>
        </w:rPr>
        <w:br/>
        <w:t>    </w:t>
      </w:r>
      <w:r w:rsidR="009A3ACA" w:rsidRPr="009A3ACA">
        <w:rPr>
          <w:rStyle w:val="Strong"/>
          <w:rFonts w:ascii="Calibri" w:hAnsi="Calibri" w:cs="Calibri"/>
          <w:sz w:val="24"/>
          <w:szCs w:val="24"/>
        </w:rPr>
        <w:t>2.</w:t>
      </w:r>
      <w:r w:rsidR="009A3ACA" w:rsidRPr="009A3ACA">
        <w:rPr>
          <w:rFonts w:ascii="Calibri" w:hAnsi="Calibri" w:cs="Calibri"/>
          <w:sz w:val="24"/>
          <w:szCs w:val="24"/>
        </w:rPr>
        <w:t xml:space="preserve"> </w:t>
      </w:r>
      <w:r w:rsidR="00D912DE">
        <w:rPr>
          <w:rFonts w:ascii="Calibri" w:hAnsi="Calibri" w:cs="Calibri"/>
          <w:sz w:val="24"/>
          <w:szCs w:val="24"/>
        </w:rPr>
        <w:tab/>
      </w:r>
      <w:r w:rsidR="009A3ACA" w:rsidRPr="009A3ACA">
        <w:rPr>
          <w:rFonts w:ascii="Calibri" w:hAnsi="Calibri" w:cs="Calibri"/>
          <w:sz w:val="24"/>
          <w:szCs w:val="24"/>
        </w:rPr>
        <w:t xml:space="preserve">Justification for the change, including background information in sufficient detail to allow an </w:t>
      </w:r>
      <w:r w:rsidR="00D912DE">
        <w:rPr>
          <w:rFonts w:ascii="Calibri" w:hAnsi="Calibri" w:cs="Calibri"/>
          <w:sz w:val="24"/>
          <w:szCs w:val="24"/>
        </w:rPr>
        <w:tab/>
      </w:r>
      <w:r w:rsidR="009A3ACA" w:rsidRPr="009A3ACA">
        <w:rPr>
          <w:rFonts w:ascii="Calibri" w:hAnsi="Calibri" w:cs="Calibri"/>
          <w:sz w:val="24"/>
          <w:szCs w:val="24"/>
        </w:rPr>
        <w:t>adequate study of the proposed change.</w:t>
      </w:r>
      <w:r w:rsidR="009A3ACA" w:rsidRPr="009A3ACA">
        <w:rPr>
          <w:rFonts w:ascii="Calibri" w:hAnsi="Calibri" w:cs="Calibri"/>
          <w:sz w:val="24"/>
          <w:szCs w:val="24"/>
        </w:rPr>
        <w:br/>
        <w:t>    </w:t>
      </w:r>
      <w:r w:rsidR="009A3ACA" w:rsidRPr="009A3ACA">
        <w:rPr>
          <w:rStyle w:val="Strong"/>
          <w:rFonts w:ascii="Calibri" w:hAnsi="Calibri" w:cs="Calibri"/>
          <w:sz w:val="24"/>
          <w:szCs w:val="24"/>
        </w:rPr>
        <w:t>3.</w:t>
      </w:r>
      <w:r w:rsidR="009A3ACA" w:rsidRPr="009A3ACA">
        <w:rPr>
          <w:rFonts w:ascii="Calibri" w:hAnsi="Calibri" w:cs="Calibri"/>
          <w:sz w:val="24"/>
          <w:szCs w:val="24"/>
        </w:rPr>
        <w:t xml:space="preserve"> </w:t>
      </w:r>
      <w:r w:rsidR="00D912DE">
        <w:rPr>
          <w:rFonts w:ascii="Calibri" w:hAnsi="Calibri" w:cs="Calibri"/>
          <w:sz w:val="24"/>
          <w:szCs w:val="24"/>
        </w:rPr>
        <w:tab/>
      </w:r>
      <w:r w:rsidR="009A3ACA" w:rsidRPr="009A3ACA">
        <w:rPr>
          <w:rFonts w:ascii="Calibri" w:hAnsi="Calibri" w:cs="Calibri"/>
          <w:sz w:val="24"/>
          <w:szCs w:val="24"/>
        </w:rPr>
        <w:t xml:space="preserve">The proposed </w:t>
      </w:r>
      <w:r w:rsidR="00D912DE">
        <w:rPr>
          <w:rFonts w:ascii="Calibri" w:hAnsi="Calibri" w:cs="Calibri"/>
          <w:sz w:val="24"/>
          <w:szCs w:val="24"/>
        </w:rPr>
        <w:t xml:space="preserve">event when such changes will become </w:t>
      </w:r>
      <w:r w:rsidR="009A3ACA" w:rsidRPr="009A3ACA">
        <w:rPr>
          <w:rFonts w:ascii="Calibri" w:hAnsi="Calibri" w:cs="Calibri"/>
          <w:sz w:val="24"/>
          <w:szCs w:val="24"/>
        </w:rPr>
        <w:t>effe</w:t>
      </w:r>
      <w:r w:rsidR="00D912DE">
        <w:rPr>
          <w:rFonts w:ascii="Calibri" w:hAnsi="Calibri" w:cs="Calibri"/>
          <w:sz w:val="24"/>
          <w:szCs w:val="24"/>
        </w:rPr>
        <w:t>ctive:</w:t>
      </w:r>
      <w:r w:rsidR="009A3ACA" w:rsidRPr="009A3ACA">
        <w:rPr>
          <w:rFonts w:ascii="Calibri" w:hAnsi="Calibri" w:cs="Calibri"/>
          <w:sz w:val="24"/>
          <w:szCs w:val="24"/>
        </w:rPr>
        <w:t xml:space="preserve"> stated either in terms of a calendar </w:t>
      </w:r>
      <w:r w:rsidR="00D912DE">
        <w:rPr>
          <w:rFonts w:ascii="Calibri" w:hAnsi="Calibri" w:cs="Calibri"/>
          <w:sz w:val="24"/>
          <w:szCs w:val="24"/>
        </w:rPr>
        <w:tab/>
      </w:r>
      <w:r w:rsidR="009A3ACA" w:rsidRPr="009A3ACA">
        <w:rPr>
          <w:rFonts w:ascii="Calibri" w:hAnsi="Calibri" w:cs="Calibri"/>
          <w:sz w:val="24"/>
          <w:szCs w:val="24"/>
        </w:rPr>
        <w:t>date or a part, lot, or serial number.</w:t>
      </w:r>
    </w:p>
    <w:p w:rsidR="00D912DE" w:rsidRPr="009A3ACA" w:rsidRDefault="00D912DE" w:rsidP="00D912DE">
      <w:pPr>
        <w:tabs>
          <w:tab w:val="left" w:pos="540"/>
        </w:tabs>
        <w:rPr>
          <w:rFonts w:ascii="Calibri" w:hAnsi="Calibri" w:cs="Calibri"/>
          <w:sz w:val="24"/>
          <w:szCs w:val="24"/>
        </w:rPr>
      </w:pPr>
    </w:p>
    <w:p w:rsidR="009A3ACA" w:rsidRPr="002302F8" w:rsidRDefault="009A3ACA" w:rsidP="009A3ACA">
      <w:pPr>
        <w:ind w:left="-540" w:firstLine="720"/>
        <w:rPr>
          <w:rFonts w:ascii="Calibri" w:hAnsi="Calibri" w:cs="Calibri"/>
          <w:b/>
          <w:sz w:val="24"/>
          <w:szCs w:val="24"/>
        </w:rPr>
      </w:pPr>
      <w:r w:rsidRPr="002302F8">
        <w:rPr>
          <w:rFonts w:ascii="Calibri" w:hAnsi="Calibri" w:cs="Calibri"/>
          <w:b/>
          <w:sz w:val="24"/>
          <w:szCs w:val="24"/>
        </w:rPr>
        <w:t>Notification must be made to:</w:t>
      </w:r>
    </w:p>
    <w:p w:rsidR="009A3ACA" w:rsidRPr="002302F8" w:rsidRDefault="00B407B0" w:rsidP="002302F8">
      <w:pPr>
        <w:pStyle w:val="NoSpacing"/>
        <w:numPr>
          <w:ilvl w:val="1"/>
          <w:numId w:val="11"/>
        </w:numPr>
        <w:ind w:left="630"/>
        <w:rPr>
          <w:rFonts w:cs="Calibri"/>
          <w:sz w:val="24"/>
          <w:szCs w:val="24"/>
        </w:rPr>
      </w:pPr>
      <w:r>
        <w:rPr>
          <w:rFonts w:cs="Calibri"/>
          <w:sz w:val="24"/>
          <w:szCs w:val="24"/>
        </w:rPr>
        <w:t>Denise Payton</w:t>
      </w:r>
    </w:p>
    <w:p w:rsidR="009A3ACA" w:rsidRPr="002302F8" w:rsidRDefault="009A3ACA" w:rsidP="002302F8">
      <w:pPr>
        <w:pStyle w:val="NoSpacing"/>
        <w:numPr>
          <w:ilvl w:val="1"/>
          <w:numId w:val="11"/>
        </w:numPr>
        <w:ind w:left="630"/>
        <w:rPr>
          <w:rFonts w:cs="Calibri"/>
          <w:sz w:val="24"/>
          <w:szCs w:val="24"/>
        </w:rPr>
      </w:pPr>
      <w:r w:rsidRPr="002302F8">
        <w:rPr>
          <w:rFonts w:cs="Calibri"/>
          <w:sz w:val="24"/>
          <w:szCs w:val="24"/>
        </w:rPr>
        <w:t>1635 S. 300 W. SLC, UT 84115</w:t>
      </w:r>
    </w:p>
    <w:p w:rsidR="009A3ACA" w:rsidRPr="002302F8" w:rsidRDefault="00B407B0" w:rsidP="002302F8">
      <w:pPr>
        <w:pStyle w:val="NoSpacing"/>
        <w:numPr>
          <w:ilvl w:val="1"/>
          <w:numId w:val="11"/>
        </w:numPr>
        <w:ind w:left="630"/>
        <w:rPr>
          <w:rFonts w:cs="Calibri"/>
          <w:sz w:val="24"/>
          <w:szCs w:val="24"/>
        </w:rPr>
      </w:pPr>
      <w:hyperlink r:id="rId10" w:history="1">
        <w:r w:rsidRPr="00974BDE">
          <w:rPr>
            <w:rStyle w:val="Hyperlink"/>
            <w:rFonts w:cs="Calibri"/>
            <w:sz w:val="24"/>
            <w:szCs w:val="24"/>
          </w:rPr>
          <w:t>dpayton@indsupply.com</w:t>
        </w:r>
      </w:hyperlink>
    </w:p>
    <w:p w:rsidR="009A3ACA" w:rsidRPr="002302F8" w:rsidRDefault="009A3ACA" w:rsidP="002302F8">
      <w:pPr>
        <w:pStyle w:val="NoSpacing"/>
        <w:numPr>
          <w:ilvl w:val="1"/>
          <w:numId w:val="11"/>
        </w:numPr>
        <w:ind w:left="630"/>
        <w:rPr>
          <w:rFonts w:cs="Calibri"/>
          <w:sz w:val="24"/>
          <w:szCs w:val="24"/>
        </w:rPr>
      </w:pPr>
      <w:r w:rsidRPr="002302F8">
        <w:rPr>
          <w:rFonts w:cs="Calibri"/>
          <w:sz w:val="24"/>
          <w:szCs w:val="24"/>
        </w:rPr>
        <w:t xml:space="preserve">PH# 801-484-8644 </w:t>
      </w:r>
    </w:p>
    <w:p w:rsidR="009A3ACA" w:rsidRPr="002302F8" w:rsidRDefault="00CB3433" w:rsidP="002302F8">
      <w:pPr>
        <w:pStyle w:val="NoSpacing"/>
        <w:numPr>
          <w:ilvl w:val="1"/>
          <w:numId w:val="11"/>
        </w:numPr>
        <w:ind w:left="630"/>
        <w:rPr>
          <w:rFonts w:cs="Calibri"/>
          <w:sz w:val="24"/>
          <w:szCs w:val="24"/>
        </w:rPr>
      </w:pPr>
      <w:r>
        <w:rPr>
          <w:rFonts w:cs="Calibri"/>
          <w:sz w:val="24"/>
          <w:szCs w:val="24"/>
        </w:rPr>
        <w:t>FX# 801-464-1222</w:t>
      </w:r>
    </w:p>
    <w:p w:rsidR="002B11BC" w:rsidRDefault="002B11BC" w:rsidP="002B11BC">
      <w:pPr>
        <w:rPr>
          <w:rFonts w:ascii="Calibri" w:hAnsi="Calibri" w:cs="Calibri"/>
          <w:sz w:val="24"/>
          <w:szCs w:val="24"/>
        </w:rPr>
      </w:pPr>
    </w:p>
    <w:sectPr w:rsidR="002B11BC" w:rsidSect="0037308E">
      <w:footerReference w:type="default" r:id="rId11"/>
      <w:pgSz w:w="12240" w:h="15840" w:code="1"/>
      <w:pgMar w:top="1296" w:right="720" w:bottom="270" w:left="1152" w:header="720" w:footer="4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60E" w:rsidRDefault="00E7460E">
      <w:r>
        <w:separator/>
      </w:r>
    </w:p>
  </w:endnote>
  <w:endnote w:type="continuationSeparator" w:id="1">
    <w:p w:rsidR="00E7460E" w:rsidRDefault="00E74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0E" w:rsidRPr="0037308E" w:rsidRDefault="00E7460E" w:rsidP="0037308E">
    <w:pPr>
      <w:pStyle w:val="Footer"/>
      <w:jc w:val="right"/>
      <w:rPr>
        <w:rFonts w:ascii="Calibri" w:hAnsi="Calibri"/>
        <w:b/>
        <w:sz w:val="22"/>
        <w:szCs w:val="22"/>
      </w:rPr>
    </w:pPr>
    <w:r w:rsidRPr="0037308E">
      <w:rPr>
        <w:rFonts w:ascii="Calibri" w:hAnsi="Calibri"/>
        <w:b/>
        <w:sz w:val="22"/>
        <w:szCs w:val="22"/>
      </w:rPr>
      <w:t>ISC-CNR</w:t>
    </w:r>
    <w:r w:rsidR="00731D57">
      <w:rPr>
        <w:rFonts w:ascii="Calibri" w:hAnsi="Calibri"/>
        <w:b/>
        <w:sz w:val="22"/>
        <w:szCs w:val="22"/>
      </w:rPr>
      <w:t xml:space="preserve"> REV</w:t>
    </w:r>
    <w:r w:rsidRPr="0037308E">
      <w:rPr>
        <w:rFonts w:ascii="Calibri" w:hAnsi="Calibri"/>
        <w:b/>
        <w:sz w:val="22"/>
        <w:szCs w:val="22"/>
      </w:rPr>
      <w:t xml:space="preserve"> </w:t>
    </w:r>
    <w:r w:rsidR="00B407B0">
      <w:rPr>
        <w:rFonts w:ascii="Calibri" w:hAnsi="Calibri"/>
        <w:b/>
        <w:sz w:val="22"/>
        <w:szCs w:val="22"/>
      </w:rPr>
      <w:t>01-16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60E" w:rsidRDefault="00E7460E">
      <w:r>
        <w:separator/>
      </w:r>
    </w:p>
  </w:footnote>
  <w:footnote w:type="continuationSeparator" w:id="1">
    <w:p w:rsidR="00E7460E" w:rsidRDefault="00E74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787"/>
    <w:multiLevelType w:val="hybridMultilevel"/>
    <w:tmpl w:val="2784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C77FB"/>
    <w:multiLevelType w:val="hybridMultilevel"/>
    <w:tmpl w:val="49386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01D20"/>
    <w:multiLevelType w:val="hybridMultilevel"/>
    <w:tmpl w:val="247E3C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3C47CC"/>
    <w:multiLevelType w:val="hybridMultilevel"/>
    <w:tmpl w:val="4574D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FF479F"/>
    <w:multiLevelType w:val="hybridMultilevel"/>
    <w:tmpl w:val="D5105360"/>
    <w:lvl w:ilvl="0" w:tplc="94064FC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612207"/>
    <w:multiLevelType w:val="hybridMultilevel"/>
    <w:tmpl w:val="3DBCB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962FF"/>
    <w:multiLevelType w:val="hybridMultilevel"/>
    <w:tmpl w:val="055E2F02"/>
    <w:lvl w:ilvl="0" w:tplc="F558E446">
      <w:start w:val="1"/>
      <w:numFmt w:val="decimal"/>
      <w:lvlText w:val="%1."/>
      <w:lvlJc w:val="left"/>
      <w:pPr>
        <w:tabs>
          <w:tab w:val="num" w:pos="1626"/>
        </w:tabs>
        <w:ind w:left="1626" w:hanging="360"/>
      </w:pPr>
      <w:rPr>
        <w:rFonts w:hint="default"/>
      </w:rPr>
    </w:lvl>
    <w:lvl w:ilvl="1" w:tplc="04090019" w:tentative="1">
      <w:start w:val="1"/>
      <w:numFmt w:val="lowerLetter"/>
      <w:lvlText w:val="%2."/>
      <w:lvlJc w:val="left"/>
      <w:pPr>
        <w:tabs>
          <w:tab w:val="num" w:pos="2346"/>
        </w:tabs>
        <w:ind w:left="2346" w:hanging="360"/>
      </w:pPr>
    </w:lvl>
    <w:lvl w:ilvl="2" w:tplc="0409001B" w:tentative="1">
      <w:start w:val="1"/>
      <w:numFmt w:val="lowerRoman"/>
      <w:lvlText w:val="%3."/>
      <w:lvlJc w:val="right"/>
      <w:pPr>
        <w:tabs>
          <w:tab w:val="num" w:pos="3066"/>
        </w:tabs>
        <w:ind w:left="3066" w:hanging="180"/>
      </w:pPr>
    </w:lvl>
    <w:lvl w:ilvl="3" w:tplc="0409000F" w:tentative="1">
      <w:start w:val="1"/>
      <w:numFmt w:val="decimal"/>
      <w:lvlText w:val="%4."/>
      <w:lvlJc w:val="left"/>
      <w:pPr>
        <w:tabs>
          <w:tab w:val="num" w:pos="3786"/>
        </w:tabs>
        <w:ind w:left="3786" w:hanging="360"/>
      </w:pPr>
    </w:lvl>
    <w:lvl w:ilvl="4" w:tplc="04090019" w:tentative="1">
      <w:start w:val="1"/>
      <w:numFmt w:val="lowerLetter"/>
      <w:lvlText w:val="%5."/>
      <w:lvlJc w:val="left"/>
      <w:pPr>
        <w:tabs>
          <w:tab w:val="num" w:pos="4506"/>
        </w:tabs>
        <w:ind w:left="4506" w:hanging="360"/>
      </w:pPr>
    </w:lvl>
    <w:lvl w:ilvl="5" w:tplc="0409001B" w:tentative="1">
      <w:start w:val="1"/>
      <w:numFmt w:val="lowerRoman"/>
      <w:lvlText w:val="%6."/>
      <w:lvlJc w:val="right"/>
      <w:pPr>
        <w:tabs>
          <w:tab w:val="num" w:pos="5226"/>
        </w:tabs>
        <w:ind w:left="5226" w:hanging="180"/>
      </w:pPr>
    </w:lvl>
    <w:lvl w:ilvl="6" w:tplc="0409000F" w:tentative="1">
      <w:start w:val="1"/>
      <w:numFmt w:val="decimal"/>
      <w:lvlText w:val="%7."/>
      <w:lvlJc w:val="left"/>
      <w:pPr>
        <w:tabs>
          <w:tab w:val="num" w:pos="5946"/>
        </w:tabs>
        <w:ind w:left="5946" w:hanging="360"/>
      </w:pPr>
    </w:lvl>
    <w:lvl w:ilvl="7" w:tplc="04090019" w:tentative="1">
      <w:start w:val="1"/>
      <w:numFmt w:val="lowerLetter"/>
      <w:lvlText w:val="%8."/>
      <w:lvlJc w:val="left"/>
      <w:pPr>
        <w:tabs>
          <w:tab w:val="num" w:pos="6666"/>
        </w:tabs>
        <w:ind w:left="6666" w:hanging="360"/>
      </w:pPr>
    </w:lvl>
    <w:lvl w:ilvl="8" w:tplc="0409001B" w:tentative="1">
      <w:start w:val="1"/>
      <w:numFmt w:val="lowerRoman"/>
      <w:lvlText w:val="%9."/>
      <w:lvlJc w:val="right"/>
      <w:pPr>
        <w:tabs>
          <w:tab w:val="num" w:pos="7386"/>
        </w:tabs>
        <w:ind w:left="7386" w:hanging="180"/>
      </w:pPr>
    </w:lvl>
  </w:abstractNum>
  <w:abstractNum w:abstractNumId="7">
    <w:nsid w:val="4919755A"/>
    <w:multiLevelType w:val="hybridMultilevel"/>
    <w:tmpl w:val="444A5E30"/>
    <w:lvl w:ilvl="0" w:tplc="4C32742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5E1790"/>
    <w:multiLevelType w:val="hybridMultilevel"/>
    <w:tmpl w:val="3C9EE6E4"/>
    <w:lvl w:ilvl="0" w:tplc="080E580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653F7F55"/>
    <w:multiLevelType w:val="hybridMultilevel"/>
    <w:tmpl w:val="4C305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B6407E"/>
    <w:multiLevelType w:val="hybridMultilevel"/>
    <w:tmpl w:val="C074D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7"/>
  </w:num>
  <w:num w:numId="6">
    <w:abstractNumId w:val="9"/>
  </w:num>
  <w:num w:numId="7">
    <w:abstractNumId w:val="3"/>
  </w:num>
  <w:num w:numId="8">
    <w:abstractNumId w:val="10"/>
  </w:num>
  <w:num w:numId="9">
    <w:abstractNumId w:val="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rsids>
    <w:rsidRoot w:val="001440E8"/>
    <w:rsid w:val="00002A09"/>
    <w:rsid w:val="0001543D"/>
    <w:rsid w:val="00042CA1"/>
    <w:rsid w:val="000607A9"/>
    <w:rsid w:val="00064E36"/>
    <w:rsid w:val="000871C3"/>
    <w:rsid w:val="0009626F"/>
    <w:rsid w:val="000A524F"/>
    <w:rsid w:val="000C39AE"/>
    <w:rsid w:val="000F1939"/>
    <w:rsid w:val="000F4932"/>
    <w:rsid w:val="00122585"/>
    <w:rsid w:val="001437F1"/>
    <w:rsid w:val="001440E8"/>
    <w:rsid w:val="00156B54"/>
    <w:rsid w:val="00160AA3"/>
    <w:rsid w:val="001667D2"/>
    <w:rsid w:val="001855B0"/>
    <w:rsid w:val="001A2AB4"/>
    <w:rsid w:val="001E2A43"/>
    <w:rsid w:val="00214DF6"/>
    <w:rsid w:val="002214EC"/>
    <w:rsid w:val="00221FC6"/>
    <w:rsid w:val="002302F8"/>
    <w:rsid w:val="00244E98"/>
    <w:rsid w:val="00257641"/>
    <w:rsid w:val="00270034"/>
    <w:rsid w:val="00280EB6"/>
    <w:rsid w:val="002862F9"/>
    <w:rsid w:val="00290501"/>
    <w:rsid w:val="002B11BC"/>
    <w:rsid w:val="002D1B69"/>
    <w:rsid w:val="002E7DFF"/>
    <w:rsid w:val="0030605B"/>
    <w:rsid w:val="00326031"/>
    <w:rsid w:val="00332ED1"/>
    <w:rsid w:val="003337C0"/>
    <w:rsid w:val="00364966"/>
    <w:rsid w:val="0037308E"/>
    <w:rsid w:val="00391705"/>
    <w:rsid w:val="00392612"/>
    <w:rsid w:val="00394CFE"/>
    <w:rsid w:val="003C5D4D"/>
    <w:rsid w:val="003D5F5A"/>
    <w:rsid w:val="003E5721"/>
    <w:rsid w:val="003F7B43"/>
    <w:rsid w:val="004114B9"/>
    <w:rsid w:val="00412F4E"/>
    <w:rsid w:val="00425D79"/>
    <w:rsid w:val="00427ACE"/>
    <w:rsid w:val="00434DCA"/>
    <w:rsid w:val="00435D63"/>
    <w:rsid w:val="00450238"/>
    <w:rsid w:val="00464896"/>
    <w:rsid w:val="0047123A"/>
    <w:rsid w:val="0047331D"/>
    <w:rsid w:val="00477B60"/>
    <w:rsid w:val="00486E9C"/>
    <w:rsid w:val="00490DB8"/>
    <w:rsid w:val="004D5BDF"/>
    <w:rsid w:val="00515201"/>
    <w:rsid w:val="0052297E"/>
    <w:rsid w:val="00530B63"/>
    <w:rsid w:val="00551F69"/>
    <w:rsid w:val="00556ECD"/>
    <w:rsid w:val="005573AE"/>
    <w:rsid w:val="00564D5C"/>
    <w:rsid w:val="00565364"/>
    <w:rsid w:val="005659FD"/>
    <w:rsid w:val="00580E86"/>
    <w:rsid w:val="0058476D"/>
    <w:rsid w:val="005A1E44"/>
    <w:rsid w:val="005B4379"/>
    <w:rsid w:val="005C75FE"/>
    <w:rsid w:val="005D60CB"/>
    <w:rsid w:val="0060372E"/>
    <w:rsid w:val="0063410A"/>
    <w:rsid w:val="00635531"/>
    <w:rsid w:val="00654CD9"/>
    <w:rsid w:val="006654CC"/>
    <w:rsid w:val="00672249"/>
    <w:rsid w:val="00694A7D"/>
    <w:rsid w:val="00697857"/>
    <w:rsid w:val="006A76F1"/>
    <w:rsid w:val="006F3339"/>
    <w:rsid w:val="00702FB7"/>
    <w:rsid w:val="00731D57"/>
    <w:rsid w:val="00755E26"/>
    <w:rsid w:val="007718D5"/>
    <w:rsid w:val="00773F6C"/>
    <w:rsid w:val="007E309E"/>
    <w:rsid w:val="007F0E6A"/>
    <w:rsid w:val="007F381B"/>
    <w:rsid w:val="00825B17"/>
    <w:rsid w:val="00837379"/>
    <w:rsid w:val="00870C07"/>
    <w:rsid w:val="0088315F"/>
    <w:rsid w:val="008A3B8E"/>
    <w:rsid w:val="008D35BC"/>
    <w:rsid w:val="008D4731"/>
    <w:rsid w:val="008D4DED"/>
    <w:rsid w:val="008F3462"/>
    <w:rsid w:val="008F48E2"/>
    <w:rsid w:val="00914562"/>
    <w:rsid w:val="009266D2"/>
    <w:rsid w:val="00935A83"/>
    <w:rsid w:val="0095603A"/>
    <w:rsid w:val="00960DBE"/>
    <w:rsid w:val="0097279F"/>
    <w:rsid w:val="00983ADF"/>
    <w:rsid w:val="00985624"/>
    <w:rsid w:val="009A3ACA"/>
    <w:rsid w:val="009C1C5B"/>
    <w:rsid w:val="009E097F"/>
    <w:rsid w:val="009F31B6"/>
    <w:rsid w:val="009F4F2E"/>
    <w:rsid w:val="00A10F8B"/>
    <w:rsid w:val="00A153CE"/>
    <w:rsid w:val="00A27D41"/>
    <w:rsid w:val="00A37E55"/>
    <w:rsid w:val="00A45055"/>
    <w:rsid w:val="00A80753"/>
    <w:rsid w:val="00A82552"/>
    <w:rsid w:val="00A85AF1"/>
    <w:rsid w:val="00AB301E"/>
    <w:rsid w:val="00AB3150"/>
    <w:rsid w:val="00B05C9D"/>
    <w:rsid w:val="00B11E0B"/>
    <w:rsid w:val="00B14122"/>
    <w:rsid w:val="00B407B0"/>
    <w:rsid w:val="00B4687B"/>
    <w:rsid w:val="00B560B5"/>
    <w:rsid w:val="00BA5080"/>
    <w:rsid w:val="00BB505C"/>
    <w:rsid w:val="00BC249C"/>
    <w:rsid w:val="00C11073"/>
    <w:rsid w:val="00C3604A"/>
    <w:rsid w:val="00C500F5"/>
    <w:rsid w:val="00C525C3"/>
    <w:rsid w:val="00C54346"/>
    <w:rsid w:val="00C661FD"/>
    <w:rsid w:val="00C75740"/>
    <w:rsid w:val="00C82260"/>
    <w:rsid w:val="00CB3433"/>
    <w:rsid w:val="00D02CF6"/>
    <w:rsid w:val="00D11926"/>
    <w:rsid w:val="00D15562"/>
    <w:rsid w:val="00D179EC"/>
    <w:rsid w:val="00D256BE"/>
    <w:rsid w:val="00D474BF"/>
    <w:rsid w:val="00D53DAD"/>
    <w:rsid w:val="00D56B85"/>
    <w:rsid w:val="00D83CF0"/>
    <w:rsid w:val="00D912DE"/>
    <w:rsid w:val="00D9219E"/>
    <w:rsid w:val="00DA16C5"/>
    <w:rsid w:val="00DB5F18"/>
    <w:rsid w:val="00DC211B"/>
    <w:rsid w:val="00DE5225"/>
    <w:rsid w:val="00E0297E"/>
    <w:rsid w:val="00E17439"/>
    <w:rsid w:val="00E40E22"/>
    <w:rsid w:val="00E7460E"/>
    <w:rsid w:val="00E928A3"/>
    <w:rsid w:val="00ED7BFE"/>
    <w:rsid w:val="00EE3CD8"/>
    <w:rsid w:val="00EE74CD"/>
    <w:rsid w:val="00F04D06"/>
    <w:rsid w:val="00F149EC"/>
    <w:rsid w:val="00F150C5"/>
    <w:rsid w:val="00F4231F"/>
    <w:rsid w:val="00F64B46"/>
    <w:rsid w:val="00F94925"/>
    <w:rsid w:val="00F94A31"/>
    <w:rsid w:val="00FB4E4E"/>
    <w:rsid w:val="00FB6250"/>
    <w:rsid w:val="00FD7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364"/>
    <w:rPr>
      <w:lang w:eastAsia="zh-CN"/>
    </w:rPr>
  </w:style>
  <w:style w:type="paragraph" w:styleId="Heading4">
    <w:name w:val="heading 4"/>
    <w:basedOn w:val="Normal"/>
    <w:next w:val="Normal"/>
    <w:link w:val="Heading4Char"/>
    <w:qFormat/>
    <w:rsid w:val="00450238"/>
    <w:pPr>
      <w:tabs>
        <w:tab w:val="left" w:pos="1800"/>
      </w:tabs>
      <w:spacing w:after="240"/>
      <w:ind w:left="1800" w:hanging="1800"/>
      <w:outlineLvl w:val="3"/>
    </w:pPr>
    <w:rPr>
      <w:rFonts w:eastAsia="Times New Roman"/>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7DFF"/>
    <w:rPr>
      <w:rFonts w:ascii="Tahoma" w:hAnsi="Tahoma" w:cs="Tahoma"/>
      <w:sz w:val="16"/>
      <w:szCs w:val="16"/>
    </w:rPr>
  </w:style>
  <w:style w:type="paragraph" w:styleId="BodyTextIndent">
    <w:name w:val="Body Text Indent"/>
    <w:basedOn w:val="Normal"/>
    <w:rsid w:val="00A153CE"/>
    <w:pPr>
      <w:ind w:left="720"/>
    </w:pPr>
    <w:rPr>
      <w:rFonts w:eastAsia="Times New Roman"/>
      <w:snapToGrid w:val="0"/>
      <w:color w:val="000000"/>
      <w:sz w:val="24"/>
      <w:szCs w:val="24"/>
      <w:lang w:eastAsia="en-US"/>
    </w:rPr>
  </w:style>
  <w:style w:type="paragraph" w:styleId="BodyTextIndent2">
    <w:name w:val="Body Text Indent 2"/>
    <w:basedOn w:val="Normal"/>
    <w:rsid w:val="00A153CE"/>
    <w:pPr>
      <w:ind w:left="720" w:firstLine="540"/>
    </w:pPr>
    <w:rPr>
      <w:rFonts w:eastAsia="Times New Roman"/>
      <w:sz w:val="24"/>
      <w:szCs w:val="24"/>
      <w:lang w:eastAsia="en-US"/>
    </w:rPr>
  </w:style>
  <w:style w:type="paragraph" w:styleId="BodyTextIndent3">
    <w:name w:val="Body Text Indent 3"/>
    <w:basedOn w:val="Normal"/>
    <w:rsid w:val="00A153CE"/>
    <w:pPr>
      <w:tabs>
        <w:tab w:val="left" w:pos="720"/>
      </w:tabs>
      <w:ind w:left="720"/>
    </w:pPr>
    <w:rPr>
      <w:rFonts w:eastAsia="Times New Roman"/>
      <w:szCs w:val="24"/>
      <w:lang w:eastAsia="en-US"/>
    </w:rPr>
  </w:style>
  <w:style w:type="paragraph" w:customStyle="1" w:styleId="Default">
    <w:name w:val="Default"/>
    <w:rsid w:val="00A153CE"/>
    <w:pPr>
      <w:autoSpaceDE w:val="0"/>
      <w:autoSpaceDN w:val="0"/>
      <w:adjustRightInd w:val="0"/>
    </w:pPr>
    <w:rPr>
      <w:rFonts w:eastAsia="Times New Roman"/>
      <w:color w:val="000000"/>
      <w:sz w:val="24"/>
      <w:szCs w:val="24"/>
    </w:rPr>
  </w:style>
  <w:style w:type="paragraph" w:styleId="NormalWeb">
    <w:name w:val="Normal (Web)"/>
    <w:basedOn w:val="Normal"/>
    <w:rsid w:val="00FD7CAB"/>
    <w:pPr>
      <w:spacing w:before="100" w:beforeAutospacing="1" w:after="100" w:afterAutospacing="1"/>
    </w:pPr>
    <w:rPr>
      <w:rFonts w:eastAsia="Times New Roman"/>
      <w:sz w:val="24"/>
      <w:szCs w:val="24"/>
      <w:lang w:eastAsia="en-US"/>
    </w:rPr>
  </w:style>
  <w:style w:type="character" w:customStyle="1" w:styleId="apple-tab-span">
    <w:name w:val="apple-tab-span"/>
    <w:basedOn w:val="DefaultParagraphFont"/>
    <w:rsid w:val="00FD7CAB"/>
  </w:style>
  <w:style w:type="character" w:styleId="Hyperlink">
    <w:name w:val="Hyperlink"/>
    <w:basedOn w:val="DefaultParagraphFont"/>
    <w:rsid w:val="00FD7CAB"/>
    <w:rPr>
      <w:color w:val="0000FF"/>
      <w:u w:val="single"/>
    </w:rPr>
  </w:style>
  <w:style w:type="paragraph" w:customStyle="1" w:styleId="Body1">
    <w:name w:val="Body 1"/>
    <w:rsid w:val="00DC211B"/>
    <w:pPr>
      <w:outlineLvl w:val="0"/>
    </w:pPr>
    <w:rPr>
      <w:rFonts w:eastAsia="Arial Unicode MS"/>
      <w:color w:val="000000"/>
      <w:sz w:val="24"/>
      <w:u w:color="000000"/>
    </w:rPr>
  </w:style>
  <w:style w:type="paragraph" w:styleId="Header">
    <w:name w:val="header"/>
    <w:basedOn w:val="Normal"/>
    <w:rsid w:val="00DC211B"/>
    <w:pPr>
      <w:tabs>
        <w:tab w:val="center" w:pos="4320"/>
        <w:tab w:val="right" w:pos="8640"/>
      </w:tabs>
    </w:pPr>
  </w:style>
  <w:style w:type="paragraph" w:styleId="Footer">
    <w:name w:val="footer"/>
    <w:basedOn w:val="Normal"/>
    <w:rsid w:val="00DC211B"/>
    <w:pPr>
      <w:tabs>
        <w:tab w:val="center" w:pos="4320"/>
        <w:tab w:val="right" w:pos="8640"/>
      </w:tabs>
    </w:pPr>
  </w:style>
  <w:style w:type="character" w:styleId="PageNumber">
    <w:name w:val="page number"/>
    <w:basedOn w:val="DefaultParagraphFont"/>
    <w:rsid w:val="00DC211B"/>
  </w:style>
  <w:style w:type="paragraph" w:styleId="BodyText">
    <w:name w:val="Body Text"/>
    <w:basedOn w:val="Normal"/>
    <w:link w:val="BodyTextChar"/>
    <w:rsid w:val="00450238"/>
    <w:pPr>
      <w:spacing w:after="120"/>
    </w:pPr>
  </w:style>
  <w:style w:type="character" w:customStyle="1" w:styleId="BodyTextChar">
    <w:name w:val="Body Text Char"/>
    <w:basedOn w:val="DefaultParagraphFont"/>
    <w:link w:val="BodyText"/>
    <w:rsid w:val="00450238"/>
    <w:rPr>
      <w:lang w:eastAsia="zh-CN"/>
    </w:rPr>
  </w:style>
  <w:style w:type="character" w:customStyle="1" w:styleId="Heading4Char">
    <w:name w:val="Heading 4 Char"/>
    <w:basedOn w:val="DefaultParagraphFont"/>
    <w:link w:val="Heading4"/>
    <w:rsid w:val="00450238"/>
    <w:rPr>
      <w:rFonts w:eastAsia="Times New Roman"/>
      <w:b/>
      <w:bCs/>
      <w:color w:val="000000"/>
    </w:rPr>
  </w:style>
  <w:style w:type="character" w:styleId="Strong">
    <w:name w:val="Strong"/>
    <w:basedOn w:val="DefaultParagraphFont"/>
    <w:uiPriority w:val="22"/>
    <w:qFormat/>
    <w:rsid w:val="009A3ACA"/>
    <w:rPr>
      <w:b/>
      <w:bCs/>
    </w:rPr>
  </w:style>
  <w:style w:type="paragraph" w:styleId="NoSpacing">
    <w:name w:val="No Spacing"/>
    <w:uiPriority w:val="1"/>
    <w:qFormat/>
    <w:rsid w:val="009A3ACA"/>
    <w:rPr>
      <w:rFonts w:ascii="Calibri" w:eastAsia="Calibri" w:hAnsi="Calibri"/>
      <w:sz w:val="22"/>
      <w:szCs w:val="22"/>
    </w:rPr>
  </w:style>
  <w:style w:type="paragraph" w:styleId="FootnoteText">
    <w:name w:val="footnote text"/>
    <w:basedOn w:val="Normal"/>
    <w:link w:val="FootnoteTextChar"/>
    <w:rsid w:val="0037308E"/>
  </w:style>
  <w:style w:type="character" w:customStyle="1" w:styleId="FootnoteTextChar">
    <w:name w:val="Footnote Text Char"/>
    <w:basedOn w:val="DefaultParagraphFont"/>
    <w:link w:val="FootnoteText"/>
    <w:rsid w:val="0037308E"/>
    <w:rPr>
      <w:lang w:eastAsia="zh-CN"/>
    </w:rPr>
  </w:style>
  <w:style w:type="character" w:styleId="FootnoteReference">
    <w:name w:val="footnote reference"/>
    <w:basedOn w:val="DefaultParagraphFont"/>
    <w:rsid w:val="0037308E"/>
    <w:rPr>
      <w:vertAlign w:val="superscript"/>
    </w:rPr>
  </w:style>
  <w:style w:type="paragraph" w:styleId="EndnoteText">
    <w:name w:val="endnote text"/>
    <w:basedOn w:val="Normal"/>
    <w:link w:val="EndnoteTextChar"/>
    <w:rsid w:val="0037308E"/>
  </w:style>
  <w:style w:type="character" w:customStyle="1" w:styleId="EndnoteTextChar">
    <w:name w:val="Endnote Text Char"/>
    <w:basedOn w:val="DefaultParagraphFont"/>
    <w:link w:val="EndnoteText"/>
    <w:rsid w:val="0037308E"/>
    <w:rPr>
      <w:lang w:eastAsia="zh-CN"/>
    </w:rPr>
  </w:style>
  <w:style w:type="character" w:styleId="EndnoteReference">
    <w:name w:val="endnote reference"/>
    <w:basedOn w:val="DefaultParagraphFont"/>
    <w:rsid w:val="0037308E"/>
    <w:rPr>
      <w:vertAlign w:val="superscript"/>
    </w:rPr>
  </w:style>
  <w:style w:type="character" w:styleId="FollowedHyperlink">
    <w:name w:val="FollowedHyperlink"/>
    <w:basedOn w:val="DefaultParagraphFont"/>
    <w:rsid w:val="005B43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8928069">
      <w:bodyDiv w:val="1"/>
      <w:marLeft w:val="0"/>
      <w:marRight w:val="0"/>
      <w:marTop w:val="0"/>
      <w:marBottom w:val="0"/>
      <w:divBdr>
        <w:top w:val="none" w:sz="0" w:space="0" w:color="auto"/>
        <w:left w:val="none" w:sz="0" w:space="0" w:color="auto"/>
        <w:bottom w:val="none" w:sz="0" w:space="0" w:color="auto"/>
        <w:right w:val="none" w:sz="0" w:space="0" w:color="auto"/>
      </w:divBdr>
    </w:div>
    <w:div w:id="443961840">
      <w:bodyDiv w:val="1"/>
      <w:marLeft w:val="0"/>
      <w:marRight w:val="0"/>
      <w:marTop w:val="0"/>
      <w:marBottom w:val="0"/>
      <w:divBdr>
        <w:top w:val="none" w:sz="0" w:space="0" w:color="auto"/>
        <w:left w:val="none" w:sz="0" w:space="0" w:color="auto"/>
        <w:bottom w:val="none" w:sz="0" w:space="0" w:color="auto"/>
        <w:right w:val="none" w:sz="0" w:space="0" w:color="auto"/>
      </w:divBdr>
    </w:div>
    <w:div w:id="1142652603">
      <w:bodyDiv w:val="1"/>
      <w:marLeft w:val="0"/>
      <w:marRight w:val="0"/>
      <w:marTop w:val="0"/>
      <w:marBottom w:val="0"/>
      <w:divBdr>
        <w:top w:val="none" w:sz="0" w:space="0" w:color="auto"/>
        <w:left w:val="none" w:sz="0" w:space="0" w:color="auto"/>
        <w:bottom w:val="none" w:sz="0" w:space="0" w:color="auto"/>
        <w:right w:val="none" w:sz="0" w:space="0" w:color="auto"/>
      </w:divBdr>
    </w:div>
    <w:div w:id="17369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ayton@indsupply.com" TargetMode="External"/><Relationship Id="rId4" Type="http://schemas.openxmlformats.org/officeDocument/2006/relationships/settings" Target="settings.xml"/><Relationship Id="rId9" Type="http://schemas.openxmlformats.org/officeDocument/2006/relationships/hyperlink" Target="http://www.indsupply.com/assets/resource/pdf/AFQA-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9A2B0-C71D-4C9C-8848-9F65DDD9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2249</CharactersWithSpaces>
  <SharedDoc>false</SharedDoc>
  <HLinks>
    <vt:vector size="6" baseType="variant">
      <vt:variant>
        <vt:i4>1638463</vt:i4>
      </vt:variant>
      <vt:variant>
        <vt:i4>0</vt:i4>
      </vt:variant>
      <vt:variant>
        <vt:i4>0</vt:i4>
      </vt:variant>
      <vt:variant>
        <vt:i4>5</vt:i4>
      </vt:variant>
      <vt:variant>
        <vt:lpwstr>mailto:cfarrington@indsupply.com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dpayton</cp:lastModifiedBy>
  <cp:revision>2</cp:revision>
  <cp:lastPrinted>2015-04-24T19:40:00Z</cp:lastPrinted>
  <dcterms:created xsi:type="dcterms:W3CDTF">2017-02-22T16:31:00Z</dcterms:created>
  <dcterms:modified xsi:type="dcterms:W3CDTF">2017-02-22T16:31:00Z</dcterms:modified>
</cp:coreProperties>
</file>